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1860"/>
        </w:trPr>
        <w:tc>
          <w:tcPr>
            <w:tcW w:w="10314" w:type="dxa"/>
          </w:tcPr>
          <w:p w:rsidR="00F72CCB" w:rsidRDefault="003C3B72">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DENİZLİ VALİLİĞİ</w:t>
            </w:r>
            <w:r>
              <w:rPr>
                <w:rFonts w:ascii="Times New Roman" w:hAnsi="Times New Roman" w:cs="Times New Roman"/>
                <w:sz w:val="24"/>
                <w:szCs w:val="24"/>
              </w:rPr>
              <w:br/>
              <w:t>İl Yazı İşleri Müdürlüğü</w:t>
            </w:r>
          </w:p>
        </w:tc>
      </w:tr>
    </w:tbl>
    <w:p w:rsidR="00F72CCB" w:rsidRDefault="003C3B72">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6359275</wp:posOffset>
            </wp:positionH>
            <wp:positionV relativeFrom="page">
              <wp:posOffset>180000</wp:posOffset>
            </wp:positionV>
            <wp:extent cx="657225" cy="100012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100012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E-27670683-010.07.01-17186</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18.10.2021</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F72CCB" w:rsidRDefault="003C3B72">
            <w:pPr>
              <w:rPr>
                <w:rFonts w:ascii="Times New Roman" w:hAnsi="Times New Roman" w:cs="Times New Roman"/>
                <w:sz w:val="24"/>
                <w:szCs w:val="24"/>
              </w:rPr>
            </w:pPr>
            <w:r>
              <w:rPr>
                <w:rFonts w:ascii="Times New Roman" w:hAnsi="Times New Roman" w:cs="Times New Roman"/>
                <w:sz w:val="24"/>
                <w:szCs w:val="24"/>
              </w:rPr>
              <w:t>Güvenlik Kamerası Kararı</w:t>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F72CCB" w:rsidRDefault="003C3B72">
            <w:pPr>
              <w:jc w:val="center"/>
              <w:rPr>
                <w:rFonts w:ascii="Times New Roman" w:hAnsi="Times New Roman" w:cs="Times New Roman"/>
                <w:sz w:val="24"/>
                <w:szCs w:val="24"/>
              </w:rPr>
            </w:pPr>
            <w:r>
              <w:rPr>
                <w:rFonts w:ascii="Times New Roman" w:hAnsi="Times New Roman" w:cs="Times New Roman"/>
                <w:sz w:val="24"/>
                <w:szCs w:val="24"/>
              </w:rPr>
              <w:t>KAMUOYUNA</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F72CCB" w:rsidRDefault="003C3B72" w:rsidP="000C124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ALKOL VE SİGARA SATIŞ RUHSATI BULUNAN İŞYERLERİNE KAMERALI</w:t>
      </w:r>
      <w:r>
        <w:rPr>
          <w:rFonts w:ascii="Times New Roman" w:hAnsi="Times New Roman" w:cs="Times New Roman"/>
          <w:sz w:val="24"/>
          <w:szCs w:val="24"/>
        </w:rPr>
        <w:br/>
      </w:r>
      <w:r>
        <w:rPr>
          <w:rFonts w:ascii="Times New Roman" w:hAnsi="Times New Roman" w:cs="Times New Roman"/>
          <w:b/>
          <w:sz w:val="24"/>
          <w:szCs w:val="24"/>
        </w:rPr>
        <w:t>GÜVENLİK SİSTEMLERİ KURULMASINA DAİR KARAR</w:t>
      </w:r>
      <w:r>
        <w:rPr>
          <w:rFonts w:ascii="Times New Roman" w:hAnsi="Times New Roman" w:cs="Times New Roman"/>
          <w:sz w:val="24"/>
          <w:szCs w:val="24"/>
        </w:rPr>
        <w:br/>
        <w:t> </w:t>
      </w:r>
      <w:r>
        <w:rPr>
          <w:rFonts w:ascii="Times New Roman" w:hAnsi="Times New Roman" w:cs="Times New Roman"/>
          <w:sz w:val="24"/>
          <w:szCs w:val="24"/>
        </w:rPr>
        <w:br/>
        <w:t> </w:t>
      </w:r>
      <w:r>
        <w:rPr>
          <w:rFonts w:ascii="Times New Roman" w:hAnsi="Times New Roman" w:cs="Times New Roman"/>
          <w:sz w:val="24"/>
          <w:szCs w:val="24"/>
        </w:rPr>
        <w:br/>
        <w:t>KARAR TARİHİ      :18/10/2021</w:t>
      </w:r>
      <w:r>
        <w:rPr>
          <w:rFonts w:ascii="Times New Roman" w:hAnsi="Times New Roman" w:cs="Times New Roman"/>
          <w:sz w:val="24"/>
          <w:szCs w:val="24"/>
        </w:rPr>
        <w:br/>
        <w:t>KARAR SAYISI       : 2021/2</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AMAÇ</w:t>
      </w:r>
      <w:r>
        <w:rPr>
          <w:rFonts w:ascii="Times New Roman" w:hAnsi="Times New Roman" w:cs="Times New Roman"/>
          <w:sz w:val="24"/>
          <w:szCs w:val="24"/>
        </w:rPr>
        <w:br/>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Madde 1-</w:t>
      </w:r>
      <w:r>
        <w:rPr>
          <w:rFonts w:ascii="Times New Roman" w:hAnsi="Times New Roman" w:cs="Times New Roman"/>
          <w:sz w:val="24"/>
          <w:szCs w:val="24"/>
        </w:rPr>
        <w:t xml:space="preserve"> Bu kararın amacı Denizli ili sınırları içerisinde 18 yaşından küçük çocukların alkol, sigara ve zararlı alışkanlıklardan korunmasını </w:t>
      </w:r>
      <w:r>
        <w:rPr>
          <w:rFonts w:ascii="Times New Roman" w:hAnsi="Times New Roman" w:cs="Times New Roman"/>
          <w:sz w:val="24"/>
          <w:szCs w:val="24"/>
        </w:rPr>
        <w:t>sağlamaktır.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KAPSAM</w:t>
      </w:r>
      <w:r>
        <w:rPr>
          <w:rFonts w:ascii="Times New Roman" w:hAnsi="Times New Roman" w:cs="Times New Roman"/>
          <w:sz w:val="24"/>
          <w:szCs w:val="24"/>
        </w:rPr>
        <w:br/>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Madde 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Bu karar, Denizli ilinde eğitim ve öğretim kurumlarına 200 metre mesafedeki alkol ve tütün mamulleri satış ruhsatı bulunan işyerlerinde görüntülü kamera sistemi kurulmasını kapsamaktadır.</w:t>
      </w:r>
      <w:r>
        <w:rPr>
          <w:rFonts w:ascii="Times New Roman" w:hAnsi="Times New Roman" w:cs="Times New Roman"/>
          <w:sz w:val="24"/>
          <w:szCs w:val="24"/>
        </w:rPr>
        <w:br/>
      </w:r>
      <w:bookmarkEnd w:id="0"/>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b/>
          <w:sz w:val="24"/>
          <w:szCs w:val="24"/>
        </w:rPr>
        <w:t>HUKUKİ DAYANAK</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3-</w:t>
      </w:r>
      <w:r>
        <w:rPr>
          <w:rFonts w:ascii="Times New Roman" w:hAnsi="Times New Roman" w:cs="Times New Roman"/>
          <w:sz w:val="24"/>
          <w:szCs w:val="24"/>
        </w:rPr>
        <w:t xml:space="preserve"> Bu kara</w:t>
      </w:r>
      <w:r>
        <w:rPr>
          <w:rFonts w:ascii="Times New Roman" w:hAnsi="Times New Roman" w:cs="Times New Roman"/>
          <w:sz w:val="24"/>
          <w:szCs w:val="24"/>
        </w:rPr>
        <w:t>r;</w:t>
      </w:r>
      <w:r>
        <w:rPr>
          <w:rFonts w:ascii="Times New Roman" w:hAnsi="Times New Roman" w:cs="Times New Roman"/>
          <w:sz w:val="24"/>
          <w:szCs w:val="24"/>
        </w:rPr>
        <w:br/>
        <w:t>1-   2709 sayılı Türkiye Cumhuriyeti Anayasasının 48. maddesi,</w:t>
      </w:r>
      <w:r>
        <w:rPr>
          <w:rFonts w:ascii="Times New Roman" w:hAnsi="Times New Roman" w:cs="Times New Roman"/>
          <w:sz w:val="24"/>
          <w:szCs w:val="24"/>
        </w:rPr>
        <w:br/>
        <w:t>2-   5442 sayılı İl İdaresi Kanununun 9. maddesinin (c), (ç), (e) ve (i) bentleri, 11. maddesinin (a) ve (c) bentleri ile 66. maddesi,</w:t>
      </w:r>
      <w:r>
        <w:rPr>
          <w:rFonts w:ascii="Times New Roman" w:hAnsi="Times New Roman" w:cs="Times New Roman"/>
          <w:sz w:val="24"/>
          <w:szCs w:val="24"/>
        </w:rPr>
        <w:br/>
        <w:t>3-   5326 sayılı Kabahatler Kanunu’nun 32. maddesi,</w:t>
      </w:r>
      <w:r>
        <w:rPr>
          <w:rFonts w:ascii="Times New Roman" w:hAnsi="Times New Roman" w:cs="Times New Roman"/>
          <w:sz w:val="24"/>
          <w:szCs w:val="24"/>
        </w:rPr>
        <w:br/>
        <w:t>4- </w:t>
      </w:r>
      <w:r>
        <w:rPr>
          <w:rFonts w:ascii="Times New Roman" w:hAnsi="Times New Roman" w:cs="Times New Roman"/>
          <w:sz w:val="24"/>
          <w:szCs w:val="24"/>
        </w:rPr>
        <w:t>  5395 sayılı Çocuk Koruma Kanunu’nun 4. maddesi,</w:t>
      </w:r>
      <w:r>
        <w:rPr>
          <w:rFonts w:ascii="Times New Roman" w:hAnsi="Times New Roman" w:cs="Times New Roman"/>
          <w:sz w:val="24"/>
          <w:szCs w:val="24"/>
        </w:rPr>
        <w:br/>
        <w:t>5-   4250 sayılı İspirto ve İspirtolu İçecekler İnhisarı Kanununun 6. maddesinin 3 ve 4. fıkraları,</w:t>
      </w:r>
      <w:r>
        <w:rPr>
          <w:rFonts w:ascii="Times New Roman" w:hAnsi="Times New Roman" w:cs="Times New Roman"/>
          <w:sz w:val="24"/>
          <w:szCs w:val="24"/>
        </w:rPr>
        <w:br/>
        <w:t>6-   4733 sayılı Tütün ve Alkol Piyasası Düzenleme Kurumu Teşkilat ve Görevleri Hakkında Kanunun 6. maddes</w:t>
      </w:r>
      <w:r>
        <w:rPr>
          <w:rFonts w:ascii="Times New Roman" w:hAnsi="Times New Roman" w:cs="Times New Roman"/>
          <w:sz w:val="24"/>
          <w:szCs w:val="24"/>
        </w:rPr>
        <w:t>i hükümlerine dayanmaktadır.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GENEL HÜKÜM VE ESASLAR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4-</w:t>
      </w:r>
      <w:r>
        <w:rPr>
          <w:rFonts w:ascii="Times New Roman" w:hAnsi="Times New Roman" w:cs="Times New Roman"/>
          <w:sz w:val="24"/>
          <w:szCs w:val="24"/>
        </w:rPr>
        <w:t xml:space="preserve"> 5442 sayılı İl İdaresi Kanunu 11. Maddesinin (a) bendinde “Vali, il sınırları içinde bulunan genel ve özel bütün kolluk kuvvet ve teşkilatının amiridir. Suç işlenmesini önlemek, kamu düzen ve</w:t>
      </w:r>
      <w:r>
        <w:rPr>
          <w:rFonts w:ascii="Times New Roman" w:hAnsi="Times New Roman" w:cs="Times New Roman"/>
          <w:sz w:val="24"/>
          <w:szCs w:val="24"/>
        </w:rPr>
        <w:t xml:space="preserve"> güvenini korumak için gereken tedbirleri alır. Bu maksatla devletin genel ve özel kolluk kuvvetlerini </w:t>
      </w:r>
      <w:r>
        <w:rPr>
          <w:rFonts w:ascii="Times New Roman" w:hAnsi="Times New Roman" w:cs="Times New Roman"/>
          <w:sz w:val="24"/>
          <w:szCs w:val="24"/>
        </w:rPr>
        <w:lastRenderedPageBreak/>
        <w:t>istihdam eder. Bu teşkilat amir ve memurların Vali tarafından verilen emirleri derhal yerine getirmekle yükümlüdür."</w:t>
      </w:r>
      <w:r>
        <w:rPr>
          <w:rFonts w:ascii="Times New Roman" w:hAnsi="Times New Roman" w:cs="Times New Roman"/>
          <w:sz w:val="24"/>
          <w:szCs w:val="24"/>
        </w:rPr>
        <w:br/>
        <w:t>(c) bendinde “İl sınırları içinde hu</w:t>
      </w:r>
      <w:r>
        <w:rPr>
          <w:rFonts w:ascii="Times New Roman" w:hAnsi="Times New Roman" w:cs="Times New Roman"/>
          <w:sz w:val="24"/>
          <w:szCs w:val="24"/>
        </w:rPr>
        <w:t>zur ve güvenliğin, tasarrufa müteallik emniyetin, kamu güvenliğinin sağlanması ve önleyici kolluk yetkisi Valinin ödev ve görevlerindedir.</w:t>
      </w:r>
      <w:r>
        <w:rPr>
          <w:rFonts w:ascii="Times New Roman" w:hAnsi="Times New Roman" w:cs="Times New Roman"/>
          <w:sz w:val="24"/>
          <w:szCs w:val="24"/>
        </w:rPr>
        <w:br/>
        <w:t>Bunları sağlamak için Vali gerekli karar ve tedbirleri alır. Bu hususta alınan ve ilan olunan karar ve tedbirlere uym</w:t>
      </w:r>
      <w:r>
        <w:rPr>
          <w:rFonts w:ascii="Times New Roman" w:hAnsi="Times New Roman" w:cs="Times New Roman"/>
          <w:sz w:val="24"/>
          <w:szCs w:val="24"/>
        </w:rPr>
        <w:t>ayanlar hakkında 66. madde hükmü uygulanır." hükümleri yer almıştır.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5-</w:t>
      </w:r>
      <w:r>
        <w:rPr>
          <w:rFonts w:ascii="Times New Roman" w:hAnsi="Times New Roman" w:cs="Times New Roman"/>
          <w:sz w:val="24"/>
          <w:szCs w:val="24"/>
        </w:rPr>
        <w:t xml:space="preserve"> Denizli İl sınırları içerisinde; </w:t>
      </w:r>
      <w:r>
        <w:rPr>
          <w:rFonts w:ascii="Times New Roman" w:hAnsi="Times New Roman" w:cs="Times New Roman"/>
          <w:sz w:val="24"/>
          <w:szCs w:val="24"/>
        </w:rPr>
        <w:br/>
        <w:t>a ) Bu karar kapsamında eğitim ve öğretim kurumlarına 200 metre mesafedeki alkol ve tütün mamulleri satış ruhsatı bulunan işyerlerine kamera s</w:t>
      </w:r>
      <w:r>
        <w:rPr>
          <w:rFonts w:ascii="Times New Roman" w:hAnsi="Times New Roman" w:cs="Times New Roman"/>
          <w:sz w:val="24"/>
          <w:szCs w:val="24"/>
        </w:rPr>
        <w:t>istemi kurulacaktır.</w:t>
      </w:r>
      <w:r>
        <w:rPr>
          <w:rFonts w:ascii="Times New Roman" w:hAnsi="Times New Roman" w:cs="Times New Roman"/>
          <w:sz w:val="24"/>
          <w:szCs w:val="24"/>
        </w:rPr>
        <w:br/>
        <w:t xml:space="preserve">b) Güvenlik kamera sistemi işyerlerinin satış alanı ile tüm giriş/çıkışlarını (varsa işyeri otoparkını) değişik açılardan görebilecek ve yüz/eşkal belirlemeye yardımcı olacak şekilde konuşlandırılacaktır. </w:t>
      </w:r>
      <w:r>
        <w:rPr>
          <w:rFonts w:ascii="Times New Roman" w:hAnsi="Times New Roman" w:cs="Times New Roman"/>
          <w:sz w:val="24"/>
          <w:szCs w:val="24"/>
        </w:rPr>
        <w:br/>
        <w:t>c) Güvenlik kameraları yeterl</w:t>
      </w:r>
      <w:r>
        <w:rPr>
          <w:rFonts w:ascii="Times New Roman" w:hAnsi="Times New Roman" w:cs="Times New Roman"/>
          <w:sz w:val="24"/>
          <w:szCs w:val="24"/>
        </w:rPr>
        <w:t>i çözünürlükte, karanlık ortamlar da net kayıt yapabilen gece görüşlü, 7 gün 24 saat kesintisiz kayıt yapabilme özelliğine sahip olacaktır.</w:t>
      </w:r>
      <w:r>
        <w:rPr>
          <w:rFonts w:ascii="Times New Roman" w:hAnsi="Times New Roman" w:cs="Times New Roman"/>
          <w:sz w:val="24"/>
          <w:szCs w:val="24"/>
        </w:rPr>
        <w:br/>
        <w:t>d) Görüntü kayıtları, en az (30) otuz gün arşivlenebilir depo özelliğine sahip olacak, arşiv görüntüleri gerektiğind</w:t>
      </w:r>
      <w:r>
        <w:rPr>
          <w:rFonts w:ascii="Times New Roman" w:hAnsi="Times New Roman" w:cs="Times New Roman"/>
          <w:sz w:val="24"/>
          <w:szCs w:val="24"/>
        </w:rPr>
        <w:t>e tarih ve saat girilerek kolayca ulaşılabilecek özellikte olacaktır.</w:t>
      </w:r>
      <w:r>
        <w:rPr>
          <w:rFonts w:ascii="Times New Roman" w:hAnsi="Times New Roman" w:cs="Times New Roman"/>
          <w:sz w:val="24"/>
          <w:szCs w:val="24"/>
        </w:rPr>
        <w:br/>
        <w:t>e) Güvenlik kamerası konuşlandırma işlemleri bu kararın tebliğ tarihinden itibaren (3) üç ay içerisinde tamamlanacaktır.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CEZAİ HÜKÜMLER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6-</w:t>
      </w:r>
      <w:r>
        <w:rPr>
          <w:rFonts w:ascii="Times New Roman" w:hAnsi="Times New Roman" w:cs="Times New Roman"/>
          <w:sz w:val="24"/>
          <w:szCs w:val="24"/>
        </w:rPr>
        <w:t xml:space="preserve"> 5442 sayılı İl İdaresi Kanununun 11. </w:t>
      </w:r>
      <w:r>
        <w:rPr>
          <w:rFonts w:ascii="Times New Roman" w:hAnsi="Times New Roman" w:cs="Times New Roman"/>
          <w:sz w:val="24"/>
          <w:szCs w:val="24"/>
        </w:rPr>
        <w:t>Maddesi gereğince alınan bu karara uymayanlar hakkında eylemleri ayrı bir suç teşkil etmediği takdirde aynı kanunun 66. maddesinde yer alan “İl genel kurulu veya idare kurulları yahut en büyük mülkiye amirleri tarafından kanunların verdiği yetkiye istinade</w:t>
      </w:r>
      <w:r>
        <w:rPr>
          <w:rFonts w:ascii="Times New Roman" w:hAnsi="Times New Roman" w:cs="Times New Roman"/>
          <w:sz w:val="24"/>
          <w:szCs w:val="24"/>
        </w:rPr>
        <w:t>n ittihaz ve usulen tebliğ veya ilan olunan karar ve tedbirlerin tatbik ve icrasına muhalefet eden veya müşkülat gösterenler veya riayet etmeyenler, mahalli mülki amir tarafından Kabahatler Kanununun 32'nci maddesi uyarınca cezalandırılır." hükmü gereği iş</w:t>
      </w:r>
      <w:r>
        <w:rPr>
          <w:rFonts w:ascii="Times New Roman" w:hAnsi="Times New Roman" w:cs="Times New Roman"/>
          <w:sz w:val="24"/>
          <w:szCs w:val="24"/>
        </w:rPr>
        <w:t>lem yapılacaktır.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YÜRÜRLÜK</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7-</w:t>
      </w:r>
      <w:r>
        <w:rPr>
          <w:rFonts w:ascii="Times New Roman" w:hAnsi="Times New Roman" w:cs="Times New Roman"/>
          <w:sz w:val="24"/>
          <w:szCs w:val="24"/>
        </w:rPr>
        <w:t xml:space="preserve"> Bu karar yayımı tarihinde yürürlüğe girer.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YÜRÜTME</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Madde 8-</w:t>
      </w:r>
      <w:r>
        <w:rPr>
          <w:rFonts w:ascii="Times New Roman" w:hAnsi="Times New Roman" w:cs="Times New Roman"/>
          <w:sz w:val="24"/>
          <w:szCs w:val="24"/>
        </w:rPr>
        <w:t xml:space="preserve"> Bu kararı Denizli Valiliği yürütür.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tblGrid>
      <w:tr w:rsidR="00B96DBB" w:rsidTr="001C6F35">
        <w:trPr>
          <w:jc w:val="right"/>
        </w:trPr>
        <w:tc>
          <w:tcPr>
            <w:tcW w:w="0" w:type="auto"/>
          </w:tcPr>
          <w:p w:rsidR="00F72CCB" w:rsidRDefault="003C3B72">
            <w:pPr>
              <w:jc w:val="center"/>
              <w:rPr>
                <w:rFonts w:ascii="Times New Roman" w:hAnsi="Times New Roman" w:cs="Times New Roman"/>
                <w:sz w:val="24"/>
                <w:szCs w:val="24"/>
              </w:rPr>
            </w:pPr>
            <w:r>
              <w:rPr>
                <w:rFonts w:ascii="Times New Roman" w:hAnsi="Times New Roman" w:cs="Times New Roman"/>
                <w:sz w:val="24"/>
                <w:szCs w:val="24"/>
              </w:rPr>
              <w:t>Ali Fuat ATİK</w:t>
            </w:r>
            <w:r>
              <w:rPr>
                <w:rFonts w:ascii="Times New Roman" w:hAnsi="Times New Roman" w:cs="Times New Roman"/>
                <w:sz w:val="24"/>
                <w:szCs w:val="24"/>
              </w:rPr>
              <w:br/>
              <w:t>Vali</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B72" w:rsidRDefault="003C3B72" w:rsidP="00B96DBB">
      <w:pPr>
        <w:spacing w:after="0" w:line="240" w:lineRule="auto"/>
      </w:pPr>
      <w:r>
        <w:separator/>
      </w:r>
    </w:p>
  </w:endnote>
  <w:endnote w:type="continuationSeparator" w:id="0">
    <w:p w:rsidR="003C3B72" w:rsidRDefault="003C3B72"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CCB" w:rsidRDefault="003C3B72">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F72CCB">
      <w:trPr>
        <w:tblCellSpacing w:w="0" w:type="dxa"/>
      </w:trPr>
      <w:tc>
        <w:tcPr>
          <w:tcW w:w="0" w:type="auto"/>
          <w:vAlign w:val="center"/>
        </w:tcPr>
        <w:p w:rsidR="00F72CCB" w:rsidRDefault="003C3B7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F72CCB">
      <w:trPr>
        <w:tblCellSpacing w:w="0" w:type="dxa"/>
      </w:trPr>
      <w:tc>
        <w:tcPr>
          <w:tcW w:w="0" w:type="auto"/>
          <w:vAlign w:val="center"/>
        </w:tcPr>
        <w:p w:rsidR="00F72CCB" w:rsidRDefault="003C3B7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6n8nCJ-N7L9AB-VnvwGK-XbzRMs-JwYr2dOG Doğrulama Linki: https://www.turkiye.gov.tr/icisleri-ebys</w:t>
          </w:r>
        </w:p>
      </w:tc>
    </w:tr>
  </w:tbl>
  <w:p w:rsidR="00F72CCB" w:rsidRDefault="00F72CCB">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F72CCB">
      <w:trPr>
        <w:tblCellSpacing w:w="0" w:type="dxa"/>
      </w:trPr>
      <w:tc>
        <w:tcPr>
          <w:tcW w:w="3000" w:type="pct"/>
          <w:vAlign w:val="center"/>
        </w:tcPr>
        <w:p w:rsidR="00F72CCB" w:rsidRDefault="003C3B72">
          <w:pPr>
            <w:rPr>
              <w:rFonts w:ascii="Times New Roman" w:hAnsi="Times New Roman" w:cs="Times New Roman"/>
              <w:sz w:val="24"/>
              <w:szCs w:val="24"/>
            </w:rPr>
          </w:pPr>
          <w:r>
            <w:rPr>
              <w:rFonts w:ascii="Times New Roman" w:hAnsi="Times New Roman" w:cs="Times New Roman"/>
              <w:sz w:val="16"/>
              <w:szCs w:val="18"/>
            </w:rPr>
            <w:t>15 Mayıs Mah. Gazi Mustafa Kemal Bulvarı N0:81/a 20059</w:t>
          </w:r>
          <w:r>
            <w:rPr>
              <w:rFonts w:ascii="Times New Roman" w:hAnsi="Times New Roman" w:cs="Times New Roman"/>
              <w:sz w:val="18"/>
              <w:szCs w:val="18"/>
            </w:rPr>
            <w:br/>
          </w:r>
          <w:r>
            <w:rPr>
              <w:rFonts w:ascii="Times New Roman" w:hAnsi="Times New Roman" w:cs="Times New Roman"/>
              <w:sz w:val="16"/>
              <w:szCs w:val="18"/>
            </w:rPr>
            <w:t>Telefon No: (258)261 33 69 Faks No: (258)241 68 88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denizliyaziisleri@gmail.com</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http://www.denizli.gov.tr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F72CCB" w:rsidRDefault="003C3B72">
          <w:pPr>
            <w:keepNext/>
            <w:jc w:val="right"/>
            <w:rPr>
              <w:rFonts w:ascii="Times New Roman" w:hAnsi="Times New Roman" w:cs="Times New Roman"/>
              <w:sz w:val="24"/>
              <w:szCs w:val="24"/>
            </w:rPr>
          </w:pPr>
          <w:r>
            <w:rPr>
              <w:rFonts w:ascii="Times New Roman" w:hAnsi="Times New Roman" w:cs="Times New Roman"/>
              <w:sz w:val="16"/>
              <w:szCs w:val="18"/>
            </w:rPr>
            <w:t>Bilgi için: Zülfiye ERGÜL</w:t>
          </w:r>
          <w:r>
            <w:rPr>
              <w:rFonts w:ascii="Times New Roman" w:hAnsi="Times New Roman" w:cs="Times New Roman"/>
              <w:sz w:val="18"/>
              <w:szCs w:val="18"/>
            </w:rPr>
            <w:br/>
          </w:r>
          <w:r>
            <w:rPr>
              <w:rFonts w:ascii="Times New Roman" w:hAnsi="Times New Roman" w:cs="Times New Roman"/>
              <w:sz w:val="16"/>
              <w:szCs w:val="18"/>
            </w:rPr>
            <w:t>Programcı</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vAlign w:val="center"/>
        </w:tcPr>
        <w:p w:rsidR="00F72CCB" w:rsidRDefault="00F72CCB">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0C1248">
      <w:rPr>
        <w:rFonts w:ascii="Times New Roman" w:hAnsi="Times New Roman" w:cs="Times New Roman"/>
        <w:sz w:val="24"/>
        <w:szCs w:val="24"/>
      </w:rPr>
      <w:fldChar w:fldCharType="separate"/>
    </w:r>
    <w:r w:rsidR="000C1248">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0C1248">
      <w:rPr>
        <w:rFonts w:ascii="Times New Roman" w:hAnsi="Times New Roman" w:cs="Times New Roman"/>
        <w:sz w:val="24"/>
        <w:szCs w:val="24"/>
      </w:rPr>
      <w:fldChar w:fldCharType="separate"/>
    </w:r>
    <w:r w:rsidR="000C1248">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B72" w:rsidRDefault="003C3B72" w:rsidP="00B96DBB">
      <w:pPr>
        <w:spacing w:after="0" w:line="240" w:lineRule="auto"/>
      </w:pPr>
      <w:r>
        <w:separator/>
      </w:r>
    </w:p>
  </w:footnote>
  <w:footnote w:type="continuationSeparator" w:id="0">
    <w:p w:rsidR="003C3B72" w:rsidRDefault="003C3B72"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ECA6357C">
      <w:numFmt w:val="decimal"/>
      <w:lvlText w:val=""/>
      <w:lvlJc w:val="left"/>
    </w:lvl>
    <w:lvl w:ilvl="2" w:tplc="2F94CCA4">
      <w:numFmt w:val="decimal"/>
      <w:lvlText w:val=""/>
      <w:lvlJc w:val="left"/>
    </w:lvl>
    <w:lvl w:ilvl="3" w:tplc="6F580110">
      <w:numFmt w:val="decimal"/>
      <w:lvlText w:val=""/>
      <w:lvlJc w:val="left"/>
    </w:lvl>
    <w:lvl w:ilvl="4" w:tplc="1DBACDAE">
      <w:numFmt w:val="decimal"/>
      <w:lvlText w:val=""/>
      <w:lvlJc w:val="left"/>
    </w:lvl>
    <w:lvl w:ilvl="5" w:tplc="421236A4">
      <w:numFmt w:val="decimal"/>
      <w:lvlText w:val=""/>
      <w:lvlJc w:val="left"/>
    </w:lvl>
    <w:lvl w:ilvl="6" w:tplc="9482EE5C">
      <w:numFmt w:val="decimal"/>
      <w:lvlText w:val=""/>
      <w:lvlJc w:val="left"/>
    </w:lvl>
    <w:lvl w:ilvl="7" w:tplc="CC22C436">
      <w:numFmt w:val="decimal"/>
      <w:lvlText w:val=""/>
      <w:lvlJc w:val="left"/>
    </w:lvl>
    <w:lvl w:ilvl="8" w:tplc="CB5AD16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949FD"/>
    <w:rsid w:val="000C1248"/>
    <w:rsid w:val="00182DA1"/>
    <w:rsid w:val="001C6654"/>
    <w:rsid w:val="001C6F35"/>
    <w:rsid w:val="003C3B72"/>
    <w:rsid w:val="00A52013"/>
    <w:rsid w:val="00AF2596"/>
    <w:rsid w:val="00B81885"/>
    <w:rsid w:val="00B96DBB"/>
    <w:rsid w:val="00C320B6"/>
    <w:rsid w:val="00CF47BF"/>
    <w:rsid w:val="00D165D6"/>
    <w:rsid w:val="00EA49D1"/>
    <w:rsid w:val="00F72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8FFEE-DCA6-4CE0-B9AD-E117441B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Zülfiye ERGÜL</dc:creator>
  <cp:lastModifiedBy>Zülfiye ERGÜL</cp:lastModifiedBy>
  <cp:revision>2</cp:revision>
  <dcterms:created xsi:type="dcterms:W3CDTF">2021-10-19T06:26:00Z</dcterms:created>
  <dcterms:modified xsi:type="dcterms:W3CDTF">2021-10-19T06:26:00Z</dcterms:modified>
</cp:coreProperties>
</file>